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C18" w:rsidRDefault="00D27C18" w:rsidP="00D27C18">
      <w:pPr>
        <w:pStyle w:val="Heading4"/>
        <w:spacing w:line="360" w:lineRule="auto"/>
        <w:rPr>
          <w:rFonts w:ascii="Futura" w:eastAsia="Times" w:hAnsi="Futura"/>
          <w:spacing w:val="0"/>
          <w:kern w:val="0"/>
          <w:lang w:val="en-AU"/>
        </w:rPr>
      </w:pPr>
      <w:r>
        <w:rPr>
          <w:rFonts w:ascii="Futura" w:eastAsia="Times" w:hAnsi="Futura"/>
          <w:spacing w:val="0"/>
          <w:kern w:val="0"/>
          <w:lang w:val="en-AU"/>
        </w:rPr>
        <w:t>RESOURCES</w:t>
      </w:r>
    </w:p>
    <w:p w:rsidR="00D27C18" w:rsidRPr="00D27C18" w:rsidRDefault="00D27C18" w:rsidP="00D27C18">
      <w:pPr>
        <w:pStyle w:val="BodyText3"/>
        <w:spacing w:line="240" w:lineRule="auto"/>
        <w:rPr>
          <w:sz w:val="24"/>
        </w:rPr>
      </w:pPr>
      <w:r>
        <w:rPr>
          <w:sz w:val="24"/>
        </w:rPr>
        <w:t>Staff can support you in finding appropriate resources for use in the classroom. Teachers can contact staff via phone or email. Books can be ordered and purchased through our gift shop or y</w:t>
      </w:r>
      <w:r>
        <w:rPr>
          <w:sz w:val="24"/>
        </w:rPr>
        <w:t xml:space="preserve">ou can access the KHT library. </w:t>
      </w:r>
    </w:p>
    <w:p w:rsidR="00D27C18" w:rsidRDefault="00D27C18" w:rsidP="00D27C18">
      <w:pPr>
        <w:pStyle w:val="BodyText3"/>
        <w:spacing w:line="240" w:lineRule="auto"/>
        <w:rPr>
          <w:b/>
          <w:sz w:val="24"/>
        </w:rPr>
      </w:pPr>
    </w:p>
    <w:p w:rsidR="00D27C18" w:rsidRDefault="00D27C18" w:rsidP="00D27C18">
      <w:pPr>
        <w:pStyle w:val="BodyText3"/>
        <w:spacing w:line="240" w:lineRule="auto"/>
        <w:rPr>
          <w:b/>
          <w:sz w:val="24"/>
        </w:rPr>
      </w:pPr>
      <w:r>
        <w:rPr>
          <w:b/>
          <w:sz w:val="24"/>
        </w:rPr>
        <w:t>WEB</w:t>
      </w:r>
    </w:p>
    <w:p w:rsidR="00D27C18" w:rsidRPr="00D27C18" w:rsidRDefault="00D27C18" w:rsidP="00D27C18">
      <w:pPr>
        <w:pStyle w:val="BodyText3"/>
        <w:spacing w:line="240" w:lineRule="auto"/>
      </w:pPr>
      <w:r>
        <w:rPr>
          <w:sz w:val="24"/>
        </w:rPr>
        <w:t xml:space="preserve">Listed are </w:t>
      </w:r>
      <w:proofErr w:type="gramStart"/>
      <w:r>
        <w:rPr>
          <w:sz w:val="24"/>
        </w:rPr>
        <w:t>a small, but good list</w:t>
      </w:r>
      <w:proofErr w:type="gramEnd"/>
      <w:r>
        <w:rPr>
          <w:sz w:val="24"/>
        </w:rPr>
        <w:t xml:space="preserve"> of sites that may be of interest, there are many more great sites but this will get you started.</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3794"/>
        <w:gridCol w:w="6520"/>
      </w:tblGrid>
      <w:tr w:rsidR="00D27C18" w:rsidTr="00C12585">
        <w:tblPrEx>
          <w:tblCellMar>
            <w:top w:w="0" w:type="dxa"/>
            <w:bottom w:w="0" w:type="dxa"/>
          </w:tblCellMar>
        </w:tblPrEx>
        <w:tc>
          <w:tcPr>
            <w:tcW w:w="3794" w:type="dxa"/>
          </w:tcPr>
          <w:p w:rsidR="00D27C18" w:rsidRDefault="00D27C18" w:rsidP="00C12585">
            <w:pPr>
              <w:pStyle w:val="BodyText3"/>
              <w:rPr>
                <w:b/>
              </w:rPr>
            </w:pPr>
            <w:r>
              <w:rPr>
                <w:b/>
              </w:rPr>
              <w:t>SITE</w:t>
            </w:r>
          </w:p>
        </w:tc>
        <w:tc>
          <w:tcPr>
            <w:tcW w:w="6520" w:type="dxa"/>
          </w:tcPr>
          <w:p w:rsidR="00D27C18" w:rsidRDefault="00D27C18" w:rsidP="00C12585">
            <w:pPr>
              <w:pStyle w:val="BodyText3"/>
              <w:rPr>
                <w:b/>
              </w:rPr>
            </w:pPr>
            <w:r>
              <w:rPr>
                <w:b/>
              </w:rPr>
              <w:t>ADDRESS</w:t>
            </w: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roofErr w:type="spellStart"/>
            <w:r>
              <w:rPr>
                <w:b/>
                <w:sz w:val="20"/>
              </w:rPr>
              <w:t>Bunjilaka</w:t>
            </w:r>
            <w:proofErr w:type="spellEnd"/>
          </w:p>
        </w:tc>
        <w:tc>
          <w:tcPr>
            <w:tcW w:w="6520" w:type="dxa"/>
          </w:tcPr>
          <w:p w:rsidR="00D27C18" w:rsidRDefault="00D27C18" w:rsidP="00C12585">
            <w:pPr>
              <w:pStyle w:val="BodyText3"/>
              <w:spacing w:line="240" w:lineRule="auto"/>
              <w:jc w:val="left"/>
              <w:rPr>
                <w:b/>
              </w:rPr>
            </w:pPr>
            <w:r>
              <w:t>http://melbourne.museum.vic.gov.au/bunjilaka/index.asp</w:t>
            </w: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A great site for information on Indigenous Victorian art &amp; Culture. Good for keeping up to date with activities and exhibitions.</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240" w:lineRule="auto"/>
              <w:jc w:val="left"/>
              <w:rPr>
                <w:b/>
                <w:sz w:val="20"/>
              </w:rPr>
            </w:pPr>
            <w:r>
              <w:rPr>
                <w:b/>
                <w:sz w:val="20"/>
              </w:rPr>
              <w:t>Victorian Aboriginal Education Association Incorporated</w:t>
            </w:r>
          </w:p>
        </w:tc>
        <w:tc>
          <w:tcPr>
            <w:tcW w:w="6520" w:type="dxa"/>
          </w:tcPr>
          <w:p w:rsidR="00D27C18" w:rsidRDefault="00D27C18" w:rsidP="00C12585">
            <w:pPr>
              <w:pStyle w:val="BodyText3"/>
              <w:spacing w:line="240" w:lineRule="auto"/>
              <w:jc w:val="left"/>
            </w:pPr>
            <w:hyperlink r:id="rId5" w:history="1">
              <w:r>
                <w:rPr>
                  <w:rStyle w:val="Hyperlink"/>
                  <w:color w:val="auto"/>
                  <w:u w:val="none"/>
                </w:rPr>
                <w:t>http://www.vaeai.org.au/</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VAEAI is the peak Aboriginal community controlled education organisation for Victoria. The site contains information about its structure and role, as well as current policy and strategies. There are useful links to other </w:t>
            </w:r>
            <w:proofErr w:type="spellStart"/>
            <w:r>
              <w:t>Koorie</w:t>
            </w:r>
            <w:proofErr w:type="spellEnd"/>
            <w:r>
              <w:t xml:space="preserve"> sites. </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jc w:val="left"/>
              <w:rPr>
                <w:b/>
                <w:sz w:val="20"/>
              </w:rPr>
            </w:pPr>
            <w:r>
              <w:rPr>
                <w:b/>
                <w:sz w:val="20"/>
              </w:rPr>
              <w:t>Education Network Australia</w:t>
            </w:r>
          </w:p>
        </w:tc>
        <w:tc>
          <w:tcPr>
            <w:tcW w:w="6520" w:type="dxa"/>
          </w:tcPr>
          <w:p w:rsidR="00D27C18" w:rsidRDefault="00D27C18" w:rsidP="00C12585">
            <w:pPr>
              <w:pStyle w:val="BodyText3"/>
              <w:spacing w:line="240" w:lineRule="auto"/>
              <w:jc w:val="left"/>
            </w:pPr>
            <w:hyperlink r:id="rId6" w:history="1">
              <w:r>
                <w:rPr>
                  <w:rStyle w:val="Hyperlink"/>
                  <w:color w:val="auto"/>
                  <w:u w:val="none"/>
                </w:rPr>
                <w:t>http://www.edna.edu.au/edna/go</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w:t>
            </w:r>
            <w:r>
              <w:rPr>
                <w:rFonts w:eastAsia="Times New Roman"/>
                <w:lang w:val="en-US"/>
              </w:rPr>
              <w:t>Education Network Australia (EDNA) is Australia’s leading online resource collection and collaborative network for the education and training community</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jc w:val="left"/>
              <w:rPr>
                <w:b/>
                <w:sz w:val="20"/>
              </w:rPr>
            </w:pPr>
            <w:r>
              <w:rPr>
                <w:b/>
                <w:sz w:val="20"/>
              </w:rPr>
              <w:t>Aboriginal Affairs Victoria</w:t>
            </w:r>
          </w:p>
        </w:tc>
        <w:tc>
          <w:tcPr>
            <w:tcW w:w="6520" w:type="dxa"/>
          </w:tcPr>
          <w:p w:rsidR="00D27C18" w:rsidRDefault="00D27C18" w:rsidP="00C12585">
            <w:pPr>
              <w:pStyle w:val="BodyText3"/>
              <w:spacing w:line="240" w:lineRule="auto"/>
              <w:jc w:val="left"/>
            </w:pPr>
            <w:hyperlink r:id="rId7" w:history="1">
              <w:r>
                <w:rPr>
                  <w:rStyle w:val="Hyperlink"/>
                  <w:color w:val="auto"/>
                  <w:u w:val="none"/>
                </w:rPr>
                <w:t>http://www1.dvc.vic.gov.au/aav/</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w:t>
            </w:r>
            <w:r>
              <w:rPr>
                <w:rFonts w:eastAsia="Times New Roman"/>
                <w:lang w:val="en-US"/>
              </w:rPr>
              <w:t xml:space="preserve">Aboriginal Affairs Victoria (AAV) is the Victorian Government's central point of advice on all aspects of Aboriginal affairs in Victoria. Excellent for research material, current policy, and reports.  </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jc w:val="left"/>
              <w:rPr>
                <w:b/>
                <w:sz w:val="20"/>
              </w:rPr>
            </w:pPr>
            <w:r>
              <w:rPr>
                <w:b/>
                <w:sz w:val="20"/>
              </w:rPr>
              <w:t>Australians for Native Title &amp; Reconciliation</w:t>
            </w:r>
          </w:p>
        </w:tc>
        <w:tc>
          <w:tcPr>
            <w:tcW w:w="6520" w:type="dxa"/>
          </w:tcPr>
          <w:p w:rsidR="00D27C18" w:rsidRDefault="00D27C18" w:rsidP="00C12585">
            <w:pPr>
              <w:pStyle w:val="BodyText3"/>
              <w:spacing w:line="240" w:lineRule="auto"/>
              <w:jc w:val="left"/>
            </w:pPr>
            <w:hyperlink r:id="rId8" w:history="1">
              <w:r>
                <w:rPr>
                  <w:rStyle w:val="Hyperlink"/>
                  <w:color w:val="auto"/>
                  <w:u w:val="none"/>
                </w:rPr>
                <w:t>http://www.antar.org.au/</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An informative site with lots of information based around issues of social justice and reconciliation.</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jc w:val="left"/>
              <w:rPr>
                <w:b/>
                <w:sz w:val="20"/>
              </w:rPr>
            </w:pPr>
            <w:r>
              <w:rPr>
                <w:b/>
                <w:sz w:val="20"/>
              </w:rPr>
              <w:t>Vibe Australia</w:t>
            </w:r>
            <w:r>
              <w:rPr>
                <w:b/>
                <w:sz w:val="20"/>
              </w:rPr>
              <w:tab/>
            </w:r>
          </w:p>
        </w:tc>
        <w:tc>
          <w:tcPr>
            <w:tcW w:w="6520" w:type="dxa"/>
          </w:tcPr>
          <w:p w:rsidR="00D27C18" w:rsidRDefault="00D27C18" w:rsidP="00C12585">
            <w:pPr>
              <w:pStyle w:val="BodyText3"/>
              <w:spacing w:line="240" w:lineRule="auto"/>
              <w:jc w:val="left"/>
            </w:pPr>
            <w:hyperlink r:id="rId9" w:history="1">
              <w:r>
                <w:rPr>
                  <w:rStyle w:val="Hyperlink"/>
                  <w:color w:val="auto"/>
                  <w:u w:val="none"/>
                </w:rPr>
                <w:t>www.vibe.com.au/vibe/corporate/index.asp</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A fantastic site that is suited to all ages. It has a strong focus on contemporary culture, health and education. One of very few sites that is engaging for the pre-teen and teenager. Very funky and interactive with classroom activities, and an overall positive message.</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jc w:val="left"/>
              <w:rPr>
                <w:b/>
                <w:sz w:val="20"/>
              </w:rPr>
            </w:pPr>
            <w:r>
              <w:rPr>
                <w:b/>
                <w:sz w:val="20"/>
              </w:rPr>
              <w:t>NGV – Remembering Barak</w:t>
            </w:r>
          </w:p>
        </w:tc>
        <w:tc>
          <w:tcPr>
            <w:tcW w:w="6520" w:type="dxa"/>
          </w:tcPr>
          <w:p w:rsidR="00D27C18" w:rsidRDefault="00D27C18" w:rsidP="00C12585">
            <w:pPr>
              <w:pStyle w:val="BodyText3"/>
              <w:spacing w:line="240" w:lineRule="auto"/>
              <w:jc w:val="left"/>
            </w:pPr>
            <w:hyperlink r:id="rId10" w:history="1">
              <w:r>
                <w:rPr>
                  <w:rStyle w:val="Hyperlink"/>
                  <w:color w:val="auto"/>
                  <w:u w:val="none"/>
                </w:rPr>
                <w:t>www.ngv.vic.gov.au/barak/education.html</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w:t>
            </w:r>
            <w:r>
              <w:rPr>
                <w:rFonts w:eastAsia="Times New Roman"/>
                <w:lang w:val="en-US"/>
              </w:rPr>
              <w:t>A four-page education resource explores aspects of Barak's work and life.</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jc w:val="left"/>
              <w:rPr>
                <w:b/>
                <w:sz w:val="20"/>
              </w:rPr>
            </w:pPr>
            <w:proofErr w:type="spellStart"/>
            <w:r>
              <w:rPr>
                <w:b/>
                <w:sz w:val="20"/>
              </w:rPr>
              <w:t>Koorie</w:t>
            </w:r>
            <w:proofErr w:type="spellEnd"/>
            <w:r>
              <w:rPr>
                <w:b/>
                <w:sz w:val="20"/>
              </w:rPr>
              <w:t xml:space="preserve"> Web Resources</w:t>
            </w:r>
          </w:p>
        </w:tc>
        <w:tc>
          <w:tcPr>
            <w:tcW w:w="6520" w:type="dxa"/>
          </w:tcPr>
          <w:p w:rsidR="00D27C18" w:rsidRDefault="00D27C18" w:rsidP="00C12585">
            <w:pPr>
              <w:pStyle w:val="BodyText3"/>
              <w:spacing w:line="240" w:lineRule="auto"/>
              <w:jc w:val="left"/>
            </w:pPr>
            <w:hyperlink r:id="rId11" w:history="1">
              <w:r>
                <w:rPr>
                  <w:rStyle w:val="Hyperlink"/>
                  <w:color w:val="auto"/>
                  <w:u w:val="none"/>
                </w:rPr>
                <w:t>www.ciolek.com</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An extensive resource with lots of information on all aspect of </w:t>
            </w:r>
            <w:proofErr w:type="spellStart"/>
            <w:r>
              <w:t>Koorie</w:t>
            </w:r>
            <w:proofErr w:type="spellEnd"/>
            <w:r>
              <w:t xml:space="preserve"> culture.</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jc w:val="left"/>
              <w:rPr>
                <w:b/>
                <w:sz w:val="20"/>
              </w:rPr>
            </w:pPr>
            <w:r>
              <w:rPr>
                <w:b/>
                <w:sz w:val="20"/>
              </w:rPr>
              <w:t>Racism No Way</w:t>
            </w:r>
            <w:r>
              <w:rPr>
                <w:b/>
                <w:sz w:val="20"/>
              </w:rPr>
              <w:tab/>
            </w:r>
          </w:p>
        </w:tc>
        <w:tc>
          <w:tcPr>
            <w:tcW w:w="6520" w:type="dxa"/>
          </w:tcPr>
          <w:p w:rsidR="00D27C18" w:rsidRDefault="00D27C18" w:rsidP="00C12585">
            <w:pPr>
              <w:pStyle w:val="BodyText3"/>
              <w:spacing w:line="240" w:lineRule="auto"/>
              <w:jc w:val="left"/>
            </w:pPr>
            <w:hyperlink r:id="rId12" w:history="1">
              <w:r>
                <w:rPr>
                  <w:rStyle w:val="Hyperlink"/>
                  <w:color w:val="auto"/>
                  <w:u w:val="none"/>
                </w:rPr>
                <w:t>www.racismnoway.com.au/</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Teaching resources, games, quizzes and links. </w:t>
            </w:r>
            <w:r>
              <w:lastRenderedPageBreak/>
              <w:t>This site has it all in relation to racism, including advice and policy.</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sz w:val="20"/>
              </w:rPr>
            </w:pPr>
            <w:r>
              <w:rPr>
                <w:b/>
                <w:sz w:val="20"/>
              </w:rPr>
              <w:lastRenderedPageBreak/>
              <w:t>Mission Voices</w:t>
            </w:r>
            <w:r>
              <w:rPr>
                <w:b/>
                <w:sz w:val="20"/>
              </w:rPr>
              <w:tab/>
            </w:r>
          </w:p>
        </w:tc>
        <w:tc>
          <w:tcPr>
            <w:tcW w:w="6520" w:type="dxa"/>
          </w:tcPr>
          <w:p w:rsidR="00D27C18" w:rsidRDefault="00D27C18" w:rsidP="00C12585">
            <w:pPr>
              <w:pStyle w:val="BodyText3"/>
              <w:spacing w:line="240" w:lineRule="auto"/>
              <w:jc w:val="left"/>
            </w:pPr>
            <w:hyperlink r:id="rId13" w:history="1">
              <w:r>
                <w:rPr>
                  <w:rStyle w:val="Hyperlink"/>
                  <w:rFonts w:eastAsia="Times New Roman"/>
                  <w:color w:val="auto"/>
                  <w:u w:val="none" w:color="356666"/>
                  <w:lang w:val="en-US"/>
                </w:rPr>
                <w:t>www.abc.net.au/missionvoices/</w:t>
              </w:r>
            </w:hyperlink>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A great site with video footage, maps, educational tools, timelines and interviews with </w:t>
            </w:r>
            <w:proofErr w:type="spellStart"/>
            <w:r>
              <w:t>Koorie</w:t>
            </w:r>
            <w:proofErr w:type="spellEnd"/>
            <w:r>
              <w:t xml:space="preserve"> elders. The site examines the missions of Lake Condah, Framlingham, Lake Tyres, Ebenezer, </w:t>
            </w:r>
            <w:proofErr w:type="spellStart"/>
            <w:r>
              <w:t>Cummeragunja</w:t>
            </w:r>
            <w:proofErr w:type="spellEnd"/>
            <w:r>
              <w:t>, and Coranderrk</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sz w:val="20"/>
              </w:rPr>
            </w:pPr>
            <w:r>
              <w:rPr>
                <w:rFonts w:eastAsia="Times New Roman"/>
                <w:b/>
                <w:sz w:val="20"/>
                <w:u w:color="356666"/>
                <w:lang w:val="en-US"/>
              </w:rPr>
              <w:t>The House of Aboriginality</w:t>
            </w:r>
          </w:p>
        </w:tc>
        <w:tc>
          <w:tcPr>
            <w:tcW w:w="6520" w:type="dxa"/>
          </w:tcPr>
          <w:p w:rsidR="00D27C18" w:rsidRDefault="00D27C18" w:rsidP="00C12585">
            <w:pPr>
              <w:pStyle w:val="BodyText3"/>
              <w:spacing w:line="240" w:lineRule="auto"/>
              <w:jc w:val="left"/>
            </w:pPr>
            <w:r>
              <w:rPr>
                <w:rFonts w:eastAsia="Times New Roman"/>
                <w:u w:color="356666"/>
                <w:lang w:val="en-US"/>
              </w:rPr>
              <w:t>www.mq.edu.au/house_of_aboriginality/index.htm</w:t>
            </w: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jc w:val="left"/>
            </w:pPr>
            <w:r>
              <w:rPr>
                <w:b/>
              </w:rPr>
              <w:t>DESCRIPTION:</w:t>
            </w:r>
            <w:r>
              <w:t xml:space="preserve"> A site that focuses on issues of appropriation and copyright in relation to Aboriginal culture. It includes past and current copyright cases and activities. Very relevant to art students who want to look at current issues.</w:t>
            </w:r>
          </w:p>
          <w:p w:rsidR="00D27C18" w:rsidRDefault="00D27C18" w:rsidP="00C12585">
            <w:pPr>
              <w:pStyle w:val="BodyText3"/>
              <w:spacing w:line="240" w:lineRule="auto"/>
              <w:jc w:val="left"/>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r>
              <w:rPr>
                <w:b/>
              </w:rPr>
              <w:t>Yarra Healing</w:t>
            </w:r>
          </w:p>
        </w:tc>
        <w:tc>
          <w:tcPr>
            <w:tcW w:w="6520" w:type="dxa"/>
          </w:tcPr>
          <w:p w:rsidR="00D27C18" w:rsidRDefault="00D27C18" w:rsidP="00C12585">
            <w:pPr>
              <w:pStyle w:val="BodyText3"/>
              <w:spacing w:line="240" w:lineRule="auto"/>
              <w:jc w:val="left"/>
              <w:rPr>
                <w:b/>
              </w:rPr>
            </w:pPr>
            <w:r>
              <w:rPr>
                <w:b/>
              </w:rPr>
              <w:t>http://www.yarrahealing.melb.catholic.edu.au/</w:t>
            </w: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rPr>
                <w:b/>
              </w:rPr>
            </w:pPr>
            <w:r>
              <w:rPr>
                <w:b/>
              </w:rPr>
              <w:t>DESCRIPTION:</w:t>
            </w:r>
            <w:r>
              <w:t xml:space="preserve"> This site explores the local (Melbourne) Indigenous community. </w:t>
            </w:r>
            <w:proofErr w:type="spellStart"/>
            <w:r>
              <w:rPr>
                <w:rFonts w:eastAsia="Times New Roman"/>
                <w:b/>
                <w:i/>
                <w:lang w:val="en-US"/>
              </w:rPr>
              <w:t>Yarra</w:t>
            </w:r>
            <w:proofErr w:type="spellEnd"/>
            <w:r>
              <w:rPr>
                <w:rFonts w:eastAsia="Times New Roman"/>
                <w:b/>
                <w:i/>
                <w:lang w:val="en-US"/>
              </w:rPr>
              <w:t xml:space="preserve"> Healing</w:t>
            </w:r>
            <w:r>
              <w:rPr>
                <w:rFonts w:eastAsia="Times New Roman"/>
                <w:lang w:val="en-US"/>
              </w:rPr>
              <w:t xml:space="preserve"> promotes the voices of local Indigenous people of Melbourne and its surrounding areas. It gives expression to their stories and to the growth of the Reconciliation movement not only in Melbourne but across the nation.</w:t>
            </w: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r>
              <w:rPr>
                <w:b/>
              </w:rPr>
              <w:t>Royal Botanic Gardens</w:t>
            </w:r>
          </w:p>
        </w:tc>
        <w:tc>
          <w:tcPr>
            <w:tcW w:w="6520" w:type="dxa"/>
          </w:tcPr>
          <w:p w:rsidR="00D27C18" w:rsidRDefault="00D27C18" w:rsidP="00C12585">
            <w:pPr>
              <w:pStyle w:val="BodyText3"/>
              <w:spacing w:line="240" w:lineRule="auto"/>
            </w:pPr>
            <w:r>
              <w:t>http://www.rbg.vic.gov.au/home</w:t>
            </w: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pPr>
            <w:r>
              <w:rPr>
                <w:b/>
              </w:rPr>
              <w:t>DESCRIPTION:</w:t>
            </w:r>
            <w:r>
              <w:t xml:space="preserve"> A very useful site containing up to date information on events and education programs. The site also includes Education Kits, including the Aboriginal Heritage Walk.</w:t>
            </w:r>
          </w:p>
          <w:p w:rsidR="00D27C18" w:rsidRDefault="00D27C18" w:rsidP="00C12585">
            <w:pPr>
              <w:pStyle w:val="BodyText3"/>
              <w:spacing w:line="240" w:lineRule="auto"/>
              <w:rPr>
                <w:b/>
              </w:rPr>
            </w:pP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roofErr w:type="spellStart"/>
            <w:r>
              <w:rPr>
                <w:b/>
              </w:rPr>
              <w:t>Ilbijerri</w:t>
            </w:r>
            <w:proofErr w:type="spellEnd"/>
          </w:p>
        </w:tc>
        <w:tc>
          <w:tcPr>
            <w:tcW w:w="6520" w:type="dxa"/>
          </w:tcPr>
          <w:p w:rsidR="00D27C18" w:rsidRDefault="00D27C18" w:rsidP="00C12585">
            <w:pPr>
              <w:pStyle w:val="BodyText3"/>
              <w:spacing w:line="240" w:lineRule="auto"/>
              <w:rPr>
                <w:b/>
              </w:rPr>
            </w:pPr>
            <w:r>
              <w:t>http://www.ilbijerri.org.au</w:t>
            </w:r>
            <w:r>
              <w:rPr>
                <w:b/>
              </w:rPr>
              <w:t>/</w:t>
            </w:r>
          </w:p>
        </w:tc>
      </w:tr>
      <w:tr w:rsidR="00D27C18" w:rsidTr="00C12585">
        <w:tblPrEx>
          <w:tblCellMar>
            <w:top w:w="0" w:type="dxa"/>
            <w:bottom w:w="0" w:type="dxa"/>
          </w:tblCellMar>
        </w:tblPrEx>
        <w:tc>
          <w:tcPr>
            <w:tcW w:w="3794" w:type="dxa"/>
          </w:tcPr>
          <w:p w:rsidR="00D27C18" w:rsidRDefault="00D27C18" w:rsidP="00C12585">
            <w:pPr>
              <w:pStyle w:val="BodyText3"/>
              <w:spacing w:line="360" w:lineRule="auto"/>
              <w:rPr>
                <w:b/>
              </w:rPr>
            </w:pPr>
          </w:p>
        </w:tc>
        <w:tc>
          <w:tcPr>
            <w:tcW w:w="6520" w:type="dxa"/>
          </w:tcPr>
          <w:p w:rsidR="00D27C18" w:rsidRDefault="00D27C18" w:rsidP="00C12585">
            <w:pPr>
              <w:pStyle w:val="BodyText3"/>
              <w:spacing w:line="240" w:lineRule="auto"/>
              <w:rPr>
                <w:rFonts w:eastAsia="Times New Roman"/>
                <w:lang w:val="en-US"/>
              </w:rPr>
            </w:pPr>
            <w:r>
              <w:rPr>
                <w:b/>
              </w:rPr>
              <w:t>DESCRIPTION</w:t>
            </w:r>
            <w:proofErr w:type="gramStart"/>
            <w:r>
              <w:rPr>
                <w:b/>
              </w:rPr>
              <w:t>:</w:t>
            </w:r>
            <w:r>
              <w:rPr>
                <w:rFonts w:eastAsia="Times New Roman"/>
                <w:color w:val="153346"/>
                <w:lang w:val="en-US"/>
              </w:rPr>
              <w:t>.</w:t>
            </w:r>
            <w:proofErr w:type="gramEnd"/>
            <w:r>
              <w:rPr>
                <w:rFonts w:ascii="Verdana" w:eastAsia="Times New Roman" w:hAnsi="Verdana"/>
                <w:color w:val="666666"/>
                <w:lang w:val="en-US"/>
              </w:rPr>
              <w:t xml:space="preserve"> </w:t>
            </w:r>
            <w:proofErr w:type="spellStart"/>
            <w:r>
              <w:rPr>
                <w:rFonts w:eastAsia="Times New Roman"/>
                <w:lang w:val="en-US"/>
              </w:rPr>
              <w:t>Ilbijerri</w:t>
            </w:r>
            <w:proofErr w:type="spellEnd"/>
            <w:r>
              <w:rPr>
                <w:rFonts w:eastAsia="Times New Roman"/>
                <w:lang w:val="en-US"/>
              </w:rPr>
              <w:t xml:space="preserve"> is the longest-running Indigenous theatre </w:t>
            </w:r>
            <w:proofErr w:type="spellStart"/>
            <w:r>
              <w:rPr>
                <w:rFonts w:eastAsia="Times New Roman"/>
                <w:lang w:val="en-US"/>
              </w:rPr>
              <w:t>organisation</w:t>
            </w:r>
            <w:proofErr w:type="spellEnd"/>
            <w:r>
              <w:rPr>
                <w:rFonts w:eastAsia="Times New Roman"/>
                <w:lang w:val="en-US"/>
              </w:rPr>
              <w:t xml:space="preserve"> in Australia. Formed by Indigenous theatre practitioners and community members, </w:t>
            </w:r>
            <w:proofErr w:type="spellStart"/>
            <w:r>
              <w:rPr>
                <w:rFonts w:eastAsia="Times New Roman"/>
                <w:lang w:val="en-US"/>
              </w:rPr>
              <w:t>Ilbijerri</w:t>
            </w:r>
            <w:proofErr w:type="spellEnd"/>
            <w:r>
              <w:rPr>
                <w:rFonts w:eastAsia="Times New Roman"/>
                <w:lang w:val="en-US"/>
              </w:rPr>
              <w:t xml:space="preserve"> exists to provide a voice for Indigenous stories and to support the professional development of Indigenous theatre practitioners. The site is not </w:t>
            </w:r>
            <w:proofErr w:type="gramStart"/>
            <w:r>
              <w:rPr>
                <w:rFonts w:eastAsia="Times New Roman"/>
                <w:lang w:val="en-US"/>
              </w:rPr>
              <w:t>extensive,</w:t>
            </w:r>
            <w:proofErr w:type="gramEnd"/>
            <w:r>
              <w:rPr>
                <w:rFonts w:eastAsia="Times New Roman"/>
                <w:lang w:val="en-US"/>
              </w:rPr>
              <w:t xml:space="preserve"> however it does contain all the latest news and current productions.</w:t>
            </w:r>
          </w:p>
          <w:p w:rsidR="00D27C18" w:rsidRDefault="00D27C18" w:rsidP="00C12585">
            <w:pPr>
              <w:pStyle w:val="BodyText3"/>
              <w:spacing w:line="240" w:lineRule="auto"/>
              <w:rPr>
                <w:b/>
              </w:rPr>
            </w:pPr>
          </w:p>
        </w:tc>
      </w:tr>
      <w:tr w:rsidR="00D27C18" w:rsidTr="00C12585">
        <w:tblPrEx>
          <w:tblCellMar>
            <w:top w:w="0" w:type="dxa"/>
            <w:bottom w:w="0" w:type="dxa"/>
          </w:tblCellMar>
        </w:tblPrEx>
        <w:tc>
          <w:tcPr>
            <w:tcW w:w="3794" w:type="dxa"/>
          </w:tcPr>
          <w:p w:rsidR="00D27C18" w:rsidRDefault="00D27C18" w:rsidP="00C12585">
            <w:pPr>
              <w:pStyle w:val="Heading5"/>
            </w:pPr>
            <w:r>
              <w:t>Aboriginal Affairs Victoria</w:t>
            </w:r>
          </w:p>
        </w:tc>
        <w:tc>
          <w:tcPr>
            <w:tcW w:w="6520" w:type="dxa"/>
          </w:tcPr>
          <w:p w:rsidR="00D27C18" w:rsidRDefault="00D27C18" w:rsidP="00C12585">
            <w:pPr>
              <w:widowControl w:val="0"/>
              <w:autoSpaceDE w:val="0"/>
              <w:autoSpaceDN w:val="0"/>
              <w:adjustRightInd w:val="0"/>
              <w:spacing w:after="300"/>
              <w:jc w:val="both"/>
              <w:rPr>
                <w:rFonts w:ascii="Arial" w:hAnsi="Arial"/>
                <w:sz w:val="22"/>
              </w:rPr>
            </w:pPr>
            <w:r>
              <w:rPr>
                <w:rFonts w:ascii="Arial" w:hAnsi="Arial"/>
                <w:b/>
                <w:kern w:val="1"/>
                <w:sz w:val="22"/>
                <w:lang w:val="en-US"/>
              </w:rPr>
              <w:t xml:space="preserve"> </w:t>
            </w:r>
            <w:hyperlink r:id="rId14" w:history="1">
              <w:r>
                <w:rPr>
                  <w:rFonts w:ascii="Arial" w:hAnsi="Arial"/>
                  <w:kern w:val="1"/>
                  <w:sz w:val="22"/>
                  <w:lang w:val="en-US"/>
                </w:rPr>
                <w:t>http://www.dvc.vic.gov.au/aav.htm</w:t>
              </w:r>
            </w:hyperlink>
          </w:p>
        </w:tc>
      </w:tr>
      <w:tr w:rsidR="00D27C18" w:rsidTr="00C12585">
        <w:tblPrEx>
          <w:tblCellMar>
            <w:top w:w="0" w:type="dxa"/>
            <w:bottom w:w="0" w:type="dxa"/>
          </w:tblCellMar>
        </w:tblPrEx>
        <w:tc>
          <w:tcPr>
            <w:tcW w:w="3794" w:type="dxa"/>
          </w:tcPr>
          <w:p w:rsidR="00D27C18" w:rsidRDefault="00D27C18" w:rsidP="00C12585">
            <w:pPr>
              <w:pStyle w:val="BodyText3"/>
              <w:spacing w:line="240" w:lineRule="auto"/>
              <w:rPr>
                <w:b/>
              </w:rPr>
            </w:pPr>
          </w:p>
        </w:tc>
        <w:tc>
          <w:tcPr>
            <w:tcW w:w="6520" w:type="dxa"/>
          </w:tcPr>
          <w:p w:rsidR="00D27C18" w:rsidRDefault="00D27C18" w:rsidP="00C12585">
            <w:pPr>
              <w:jc w:val="both"/>
              <w:rPr>
                <w:rFonts w:ascii="Arial" w:hAnsi="Arial"/>
                <w:sz w:val="22"/>
              </w:rPr>
            </w:pPr>
            <w:r>
              <w:rPr>
                <w:rFonts w:ascii="Arial" w:hAnsi="Arial"/>
                <w:b/>
                <w:sz w:val="22"/>
              </w:rPr>
              <w:t xml:space="preserve">DESCRIPTION: </w:t>
            </w:r>
            <w:r>
              <w:rPr>
                <w:rFonts w:ascii="Arial" w:hAnsi="Arial"/>
                <w:sz w:val="22"/>
              </w:rPr>
              <w:t>Aboriginal Affairs Victoria (AAV) is the Victorian Government's central point of advice on all aspects of Aboriginal affairs in Victoria. An informative site with links and contacts to local areas.</w:t>
            </w:r>
          </w:p>
          <w:p w:rsidR="00D27C18" w:rsidRDefault="00D27C18" w:rsidP="00C12585">
            <w:pPr>
              <w:jc w:val="both"/>
              <w:rPr>
                <w:rFonts w:ascii="Arial" w:hAnsi="Arial"/>
                <w:sz w:val="22"/>
              </w:rPr>
            </w:pPr>
          </w:p>
        </w:tc>
      </w:tr>
      <w:tr w:rsidR="00D27C18" w:rsidTr="00C12585">
        <w:tblPrEx>
          <w:tblCellMar>
            <w:top w:w="0" w:type="dxa"/>
            <w:bottom w:w="0" w:type="dxa"/>
          </w:tblCellMar>
        </w:tblPrEx>
        <w:tc>
          <w:tcPr>
            <w:tcW w:w="3794" w:type="dxa"/>
          </w:tcPr>
          <w:p w:rsidR="00D27C18" w:rsidRDefault="00D27C18" w:rsidP="00C12585">
            <w:pPr>
              <w:jc w:val="both"/>
              <w:rPr>
                <w:rFonts w:ascii="Arial" w:hAnsi="Arial"/>
                <w:b/>
                <w:sz w:val="22"/>
              </w:rPr>
            </w:pPr>
            <w:r>
              <w:rPr>
                <w:rFonts w:ascii="Arial" w:hAnsi="Arial"/>
                <w:b/>
                <w:sz w:val="22"/>
              </w:rPr>
              <w:t xml:space="preserve">Bringing Them Home Oral History Project </w:t>
            </w:r>
          </w:p>
          <w:p w:rsidR="00D27C18" w:rsidRDefault="00D27C18" w:rsidP="00C12585">
            <w:pPr>
              <w:jc w:val="both"/>
              <w:rPr>
                <w:rFonts w:ascii="Arial" w:hAnsi="Arial"/>
                <w:b/>
                <w:sz w:val="22"/>
              </w:rPr>
            </w:pPr>
            <w:r>
              <w:rPr>
                <w:rFonts w:ascii="Arial" w:hAnsi="Arial"/>
                <w:b/>
                <w:sz w:val="22"/>
              </w:rPr>
              <w:t>(National Library of Australia)</w:t>
            </w:r>
          </w:p>
        </w:tc>
        <w:tc>
          <w:tcPr>
            <w:tcW w:w="6520" w:type="dxa"/>
          </w:tcPr>
          <w:p w:rsidR="00D27C18" w:rsidRDefault="00D27C18" w:rsidP="00C12585">
            <w:pPr>
              <w:jc w:val="both"/>
              <w:rPr>
                <w:rFonts w:ascii="Arial" w:hAnsi="Arial"/>
                <w:sz w:val="22"/>
              </w:rPr>
            </w:pPr>
            <w:hyperlink r:id="rId15" w:history="1">
              <w:r>
                <w:rPr>
                  <w:rFonts w:ascii="Arial" w:hAnsi="Arial"/>
                  <w:sz w:val="22"/>
                </w:rPr>
                <w:t>http://www.nla.gov.au/oh/bt</w:t>
              </w:r>
              <w:r>
                <w:rPr>
                  <w:rFonts w:ascii="Arial" w:hAnsi="Arial"/>
                  <w:sz w:val="22"/>
                </w:rPr>
                <w:t>h</w:t>
              </w:r>
              <w:r>
                <w:rPr>
                  <w:rFonts w:ascii="Arial" w:hAnsi="Arial"/>
                  <w:sz w:val="22"/>
                </w:rPr>
                <w:t>/</w:t>
              </w:r>
            </w:hyperlink>
          </w:p>
        </w:tc>
      </w:tr>
      <w:tr w:rsidR="00D27C18" w:rsidTr="00C12585">
        <w:tblPrEx>
          <w:tblCellMar>
            <w:top w:w="0" w:type="dxa"/>
            <w:bottom w:w="0" w:type="dxa"/>
          </w:tblCellMar>
        </w:tblPrEx>
        <w:tc>
          <w:tcPr>
            <w:tcW w:w="3794" w:type="dxa"/>
          </w:tcPr>
          <w:p w:rsidR="00D27C18" w:rsidRDefault="00D27C18" w:rsidP="00C12585">
            <w:pPr>
              <w:jc w:val="both"/>
              <w:rPr>
                <w:rFonts w:ascii="Arial" w:hAnsi="Arial"/>
                <w:sz w:val="22"/>
              </w:rPr>
            </w:pPr>
          </w:p>
        </w:tc>
        <w:tc>
          <w:tcPr>
            <w:tcW w:w="6520" w:type="dxa"/>
          </w:tcPr>
          <w:p w:rsidR="00D27C18" w:rsidRDefault="00D27C18" w:rsidP="00C12585">
            <w:pPr>
              <w:jc w:val="both"/>
              <w:rPr>
                <w:rFonts w:ascii="Arial" w:hAnsi="Arial"/>
                <w:sz w:val="22"/>
              </w:rPr>
            </w:pPr>
            <w:r>
              <w:rPr>
                <w:rFonts w:ascii="Arial" w:hAnsi="Arial"/>
                <w:b/>
                <w:sz w:val="22"/>
              </w:rPr>
              <w:t xml:space="preserve">DESCRIPTION: </w:t>
            </w:r>
            <w:r>
              <w:rPr>
                <w:rFonts w:ascii="Arial" w:hAnsi="Arial"/>
                <w:sz w:val="22"/>
              </w:rPr>
              <w:t xml:space="preserve">In December 1997, in response to the first recommendation of </w:t>
            </w:r>
            <w:hyperlink r:id="rId16" w:history="1">
              <w:r>
                <w:rPr>
                  <w:rFonts w:ascii="Arial" w:hAnsi="Arial"/>
                  <w:sz w:val="22"/>
                </w:rPr>
                <w:t>Bringing Them Home: Report</w:t>
              </w:r>
            </w:hyperlink>
            <w:r>
              <w:rPr>
                <w:rFonts w:ascii="Arial" w:hAnsi="Arial"/>
                <w:sz w:val="22"/>
              </w:rPr>
              <w:t xml:space="preserve"> of the National Inquiry into the Separation of Aboriginal and Torres Strait Islander Children from Their Families, the Commonwealth Government announced the National Library would be funded to develop and manage a new oral history project. The oral history project will collect and preserve the stories of Indigenous people and others, such as missionaries, police and administrators involved in or affected by the process of child removal. This is a great site for people researching this topic.</w:t>
            </w:r>
          </w:p>
          <w:p w:rsidR="00D27C18" w:rsidRDefault="00D27C18" w:rsidP="00C12585">
            <w:pPr>
              <w:jc w:val="both"/>
              <w:rPr>
                <w:rFonts w:ascii="Arial" w:hAnsi="Arial"/>
                <w:sz w:val="22"/>
              </w:rPr>
            </w:pPr>
          </w:p>
        </w:tc>
      </w:tr>
    </w:tbl>
    <w:p w:rsidR="00E81EF8" w:rsidRDefault="00E81EF8">
      <w:bookmarkStart w:id="0" w:name="_GoBack"/>
      <w:bookmarkEnd w:id="0"/>
    </w:p>
    <w:sectPr w:rsidR="00E81EF8" w:rsidSect="00D27C1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MS">
    <w:altName w:val="Times New Roman"/>
    <w:panose1 w:val="00000000000000000000"/>
    <w:charset w:val="4D"/>
    <w:family w:val="swiss"/>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utura">
    <w:altName w:val="Kahootz Orbit"/>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C18"/>
    <w:rsid w:val="0013350F"/>
    <w:rsid w:val="005A6A16"/>
    <w:rsid w:val="00D27C18"/>
    <w:rsid w:val="00E81E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C18"/>
    <w:pPr>
      <w:spacing w:after="0" w:line="240" w:lineRule="auto"/>
    </w:pPr>
    <w:rPr>
      <w:rFonts w:ascii="Times" w:eastAsia="Times" w:hAnsi="Times" w:cs="Times New Roman"/>
      <w:sz w:val="24"/>
      <w:szCs w:val="20"/>
    </w:rPr>
  </w:style>
  <w:style w:type="paragraph" w:styleId="Heading4">
    <w:name w:val="heading 4"/>
    <w:basedOn w:val="Normal"/>
    <w:next w:val="Normal"/>
    <w:link w:val="Heading4Char"/>
    <w:qFormat/>
    <w:rsid w:val="00D27C18"/>
    <w:pPr>
      <w:keepNext/>
      <w:jc w:val="both"/>
      <w:outlineLvl w:val="3"/>
    </w:pPr>
    <w:rPr>
      <w:rFonts w:ascii="ArialMS" w:eastAsia="Times New Roman" w:hAnsi="ArialMS"/>
      <w:spacing w:val="20"/>
      <w:kern w:val="1"/>
      <w:sz w:val="40"/>
      <w:lang w:val="en-US"/>
    </w:rPr>
  </w:style>
  <w:style w:type="paragraph" w:styleId="Heading5">
    <w:name w:val="heading 5"/>
    <w:basedOn w:val="Normal"/>
    <w:next w:val="Normal"/>
    <w:link w:val="Heading5Char"/>
    <w:qFormat/>
    <w:rsid w:val="00D27C18"/>
    <w:pPr>
      <w:keepNext/>
      <w:outlineLvl w:val="4"/>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27C18"/>
    <w:rPr>
      <w:rFonts w:ascii="ArialMS" w:eastAsia="Times New Roman" w:hAnsi="ArialMS" w:cs="Times New Roman"/>
      <w:spacing w:val="20"/>
      <w:kern w:val="1"/>
      <w:sz w:val="40"/>
      <w:szCs w:val="20"/>
      <w:lang w:val="en-US"/>
    </w:rPr>
  </w:style>
  <w:style w:type="character" w:customStyle="1" w:styleId="Heading5Char">
    <w:name w:val="Heading 5 Char"/>
    <w:basedOn w:val="DefaultParagraphFont"/>
    <w:link w:val="Heading5"/>
    <w:rsid w:val="00D27C18"/>
    <w:rPr>
      <w:rFonts w:ascii="Arial" w:eastAsia="Times" w:hAnsi="Arial" w:cs="Times New Roman"/>
      <w:b/>
      <w:szCs w:val="20"/>
    </w:rPr>
  </w:style>
  <w:style w:type="paragraph" w:styleId="BodyText3">
    <w:name w:val="Body Text 3"/>
    <w:basedOn w:val="Normal"/>
    <w:link w:val="BodyText3Char"/>
    <w:rsid w:val="00D27C18"/>
    <w:pPr>
      <w:spacing w:line="220" w:lineRule="exact"/>
      <w:ind w:right="45"/>
      <w:jc w:val="both"/>
    </w:pPr>
    <w:rPr>
      <w:rFonts w:ascii="Arial" w:hAnsi="Arial"/>
      <w:sz w:val="22"/>
    </w:rPr>
  </w:style>
  <w:style w:type="character" w:customStyle="1" w:styleId="BodyText3Char">
    <w:name w:val="Body Text 3 Char"/>
    <w:basedOn w:val="DefaultParagraphFont"/>
    <w:link w:val="BodyText3"/>
    <w:rsid w:val="00D27C18"/>
    <w:rPr>
      <w:rFonts w:ascii="Arial" w:eastAsia="Times" w:hAnsi="Arial" w:cs="Times New Roman"/>
      <w:szCs w:val="20"/>
    </w:rPr>
  </w:style>
  <w:style w:type="character" w:styleId="Hyperlink">
    <w:name w:val="Hyperlink"/>
    <w:basedOn w:val="DefaultParagraphFont"/>
    <w:rsid w:val="00D27C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C18"/>
    <w:pPr>
      <w:spacing w:after="0" w:line="240" w:lineRule="auto"/>
    </w:pPr>
    <w:rPr>
      <w:rFonts w:ascii="Times" w:eastAsia="Times" w:hAnsi="Times" w:cs="Times New Roman"/>
      <w:sz w:val="24"/>
      <w:szCs w:val="20"/>
    </w:rPr>
  </w:style>
  <w:style w:type="paragraph" w:styleId="Heading4">
    <w:name w:val="heading 4"/>
    <w:basedOn w:val="Normal"/>
    <w:next w:val="Normal"/>
    <w:link w:val="Heading4Char"/>
    <w:qFormat/>
    <w:rsid w:val="00D27C18"/>
    <w:pPr>
      <w:keepNext/>
      <w:jc w:val="both"/>
      <w:outlineLvl w:val="3"/>
    </w:pPr>
    <w:rPr>
      <w:rFonts w:ascii="ArialMS" w:eastAsia="Times New Roman" w:hAnsi="ArialMS"/>
      <w:spacing w:val="20"/>
      <w:kern w:val="1"/>
      <w:sz w:val="40"/>
      <w:lang w:val="en-US"/>
    </w:rPr>
  </w:style>
  <w:style w:type="paragraph" w:styleId="Heading5">
    <w:name w:val="heading 5"/>
    <w:basedOn w:val="Normal"/>
    <w:next w:val="Normal"/>
    <w:link w:val="Heading5Char"/>
    <w:qFormat/>
    <w:rsid w:val="00D27C18"/>
    <w:pPr>
      <w:keepNext/>
      <w:outlineLvl w:val="4"/>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27C18"/>
    <w:rPr>
      <w:rFonts w:ascii="ArialMS" w:eastAsia="Times New Roman" w:hAnsi="ArialMS" w:cs="Times New Roman"/>
      <w:spacing w:val="20"/>
      <w:kern w:val="1"/>
      <w:sz w:val="40"/>
      <w:szCs w:val="20"/>
      <w:lang w:val="en-US"/>
    </w:rPr>
  </w:style>
  <w:style w:type="character" w:customStyle="1" w:styleId="Heading5Char">
    <w:name w:val="Heading 5 Char"/>
    <w:basedOn w:val="DefaultParagraphFont"/>
    <w:link w:val="Heading5"/>
    <w:rsid w:val="00D27C18"/>
    <w:rPr>
      <w:rFonts w:ascii="Arial" w:eastAsia="Times" w:hAnsi="Arial" w:cs="Times New Roman"/>
      <w:b/>
      <w:szCs w:val="20"/>
    </w:rPr>
  </w:style>
  <w:style w:type="paragraph" w:styleId="BodyText3">
    <w:name w:val="Body Text 3"/>
    <w:basedOn w:val="Normal"/>
    <w:link w:val="BodyText3Char"/>
    <w:rsid w:val="00D27C18"/>
    <w:pPr>
      <w:spacing w:line="220" w:lineRule="exact"/>
      <w:ind w:right="45"/>
      <w:jc w:val="both"/>
    </w:pPr>
    <w:rPr>
      <w:rFonts w:ascii="Arial" w:hAnsi="Arial"/>
      <w:sz w:val="22"/>
    </w:rPr>
  </w:style>
  <w:style w:type="character" w:customStyle="1" w:styleId="BodyText3Char">
    <w:name w:val="Body Text 3 Char"/>
    <w:basedOn w:val="DefaultParagraphFont"/>
    <w:link w:val="BodyText3"/>
    <w:rsid w:val="00D27C18"/>
    <w:rPr>
      <w:rFonts w:ascii="Arial" w:eastAsia="Times" w:hAnsi="Arial" w:cs="Times New Roman"/>
      <w:szCs w:val="20"/>
    </w:rPr>
  </w:style>
  <w:style w:type="character" w:styleId="Hyperlink">
    <w:name w:val="Hyperlink"/>
    <w:basedOn w:val="DefaultParagraphFont"/>
    <w:rsid w:val="00D27C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ar.org.au/" TargetMode="External"/><Relationship Id="rId13" Type="http://schemas.openxmlformats.org/officeDocument/2006/relationships/hyperlink" Target="http://www.abc.net.au/missionvoic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1.dvc.vic.gov.au/aav/" TargetMode="External"/><Relationship Id="rId12" Type="http://schemas.openxmlformats.org/officeDocument/2006/relationships/hyperlink" Target="http://www.racismnoway.com.au/"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hreoc.gov.au/social_justice/stolen_children/index.html" TargetMode="External"/><Relationship Id="rId1" Type="http://schemas.openxmlformats.org/officeDocument/2006/relationships/styles" Target="styles.xml"/><Relationship Id="rId6" Type="http://schemas.openxmlformats.org/officeDocument/2006/relationships/hyperlink" Target="http://www.edna.edu.au/edna/go" TargetMode="External"/><Relationship Id="rId11" Type="http://schemas.openxmlformats.org/officeDocument/2006/relationships/hyperlink" Target="http://www.ciolek.com" TargetMode="External"/><Relationship Id="rId5" Type="http://schemas.openxmlformats.org/officeDocument/2006/relationships/hyperlink" Target="http://www.vaeai.org.au/" TargetMode="External"/><Relationship Id="rId15" Type="http://schemas.openxmlformats.org/officeDocument/2006/relationships/hyperlink" Target="http://www.nla.gov.au/oh/bth/" TargetMode="External"/><Relationship Id="rId10" Type="http://schemas.openxmlformats.org/officeDocument/2006/relationships/hyperlink" Target="http://www.ngv.vic.gov.au/barak/education.html" TargetMode="External"/><Relationship Id="rId4" Type="http://schemas.openxmlformats.org/officeDocument/2006/relationships/webSettings" Target="webSettings.xml"/><Relationship Id="rId9" Type="http://schemas.openxmlformats.org/officeDocument/2006/relationships/hyperlink" Target="http://www.vibe.com.au/vibe/corporate/index.asp" TargetMode="External"/><Relationship Id="rId14" Type="http://schemas.openxmlformats.org/officeDocument/2006/relationships/hyperlink" Target="http://www.dvc.vic.gov.au/aav.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SPATZ</dc:creator>
  <cp:lastModifiedBy>Tamar SPATZ</cp:lastModifiedBy>
  <cp:revision>1</cp:revision>
  <dcterms:created xsi:type="dcterms:W3CDTF">2012-04-27T05:41:00Z</dcterms:created>
  <dcterms:modified xsi:type="dcterms:W3CDTF">2012-04-27T05:43:00Z</dcterms:modified>
</cp:coreProperties>
</file>